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96E63" w14:textId="77777777" w:rsidR="00900702" w:rsidRPr="00D57C48" w:rsidRDefault="00900702" w:rsidP="00900702">
      <w:pPr>
        <w:pStyle w:val="Nadpis7"/>
        <w:jc w:val="center"/>
        <w:rPr>
          <w:rFonts w:ascii="Garamond" w:hAnsi="Garamond"/>
          <w:b/>
          <w:sz w:val="36"/>
        </w:rPr>
      </w:pPr>
    </w:p>
    <w:p w14:paraId="1F2CA26F"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0E604755"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1E9D348A" w14:textId="77777777" w:rsidR="00900702" w:rsidRPr="00D57C48" w:rsidRDefault="00900702" w:rsidP="00900702">
      <w:pPr>
        <w:pStyle w:val="Zkladntext3"/>
        <w:rPr>
          <w:rFonts w:ascii="Garamond" w:hAnsi="Garamond"/>
        </w:rPr>
      </w:pPr>
    </w:p>
    <w:p w14:paraId="0FF54F81"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50F7B246" w14:textId="77777777" w:rsidR="00900702" w:rsidRPr="00D57C48" w:rsidRDefault="00900702" w:rsidP="00900702">
      <w:pPr>
        <w:jc w:val="center"/>
        <w:rPr>
          <w:rFonts w:ascii="Garamond" w:hAnsi="Garamond"/>
          <w:sz w:val="20"/>
        </w:rPr>
      </w:pPr>
    </w:p>
    <w:p w14:paraId="497EF9ED"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2746D26A"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6302F3C3" w14:textId="0A8B53C3"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D165BA">
        <w:rPr>
          <w:rFonts w:ascii="Garamond" w:hAnsi="Garamond"/>
          <w:i/>
          <w:sz w:val="20"/>
        </w:rPr>
        <w:t>140/MR/SÚ/2024</w:t>
      </w:r>
    </w:p>
    <w:p w14:paraId="034E7615" w14:textId="77777777" w:rsidR="00900702" w:rsidRPr="00D57C48" w:rsidRDefault="00900702" w:rsidP="00900702">
      <w:pPr>
        <w:jc w:val="both"/>
        <w:rPr>
          <w:rFonts w:ascii="Garamond" w:hAnsi="Garamond"/>
          <w:b/>
          <w:i/>
        </w:rPr>
      </w:pPr>
    </w:p>
    <w:p w14:paraId="7414A8DE" w14:textId="77777777" w:rsidR="00900702" w:rsidRPr="00D57C48" w:rsidRDefault="00900702" w:rsidP="00900702">
      <w:pPr>
        <w:jc w:val="both"/>
        <w:rPr>
          <w:rFonts w:ascii="Garamond" w:hAnsi="Garamond"/>
        </w:rPr>
      </w:pPr>
    </w:p>
    <w:p w14:paraId="579F310E"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1129BFEE"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09B4B8C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2136F4"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1646233B"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1BC25A30"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0A0AAF6B"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zastoupená ředitelem organizace Ing. Jiřím Šlachtou</w:t>
      </w:r>
    </w:p>
    <w:p w14:paraId="56F85664"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 xml:space="preserve">Bankovní spojení:  Komerční banka, a.s., pobočka Karlovy Vary </w:t>
      </w:r>
    </w:p>
    <w:p w14:paraId="10170EDA"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Číslo účtu: 78 - 2496840247/0100</w:t>
      </w:r>
    </w:p>
    <w:p w14:paraId="5FA17079"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 xml:space="preserve">Osoba oprávněna jednat ve věcech technických: Ing. Martina Svojtková </w:t>
      </w:r>
    </w:p>
    <w:p w14:paraId="647D21A0" w14:textId="281F0074" w:rsidR="007A70D6" w:rsidRPr="0094538C" w:rsidRDefault="00900702" w:rsidP="007A70D6">
      <w:pPr>
        <w:widowControl w:val="0"/>
        <w:autoSpaceDE w:val="0"/>
        <w:autoSpaceDN w:val="0"/>
        <w:adjustRightInd w:val="0"/>
        <w:ind w:left="1068" w:hanging="360"/>
        <w:rPr>
          <w:rFonts w:ascii="Garamond" w:hAnsi="Garamond"/>
        </w:rPr>
      </w:pPr>
      <w:r w:rsidRPr="0094538C">
        <w:rPr>
          <w:rFonts w:ascii="Garamond" w:hAnsi="Garamond"/>
        </w:rPr>
        <w:t>tel. 352 356 1</w:t>
      </w:r>
      <w:r w:rsidR="007A70D6" w:rsidRPr="0094538C">
        <w:rPr>
          <w:rFonts w:ascii="Garamond" w:hAnsi="Garamond"/>
        </w:rPr>
        <w:t>40</w:t>
      </w:r>
      <w:r w:rsidRPr="0094538C">
        <w:rPr>
          <w:rFonts w:ascii="Garamond" w:hAnsi="Garamond"/>
        </w:rPr>
        <w:t xml:space="preserve">, mobil: </w:t>
      </w:r>
      <w:r w:rsidR="007A70D6" w:rsidRPr="0094538C">
        <w:rPr>
          <w:rFonts w:ascii="Garamond" w:hAnsi="Garamond"/>
        </w:rPr>
        <w:t>723 743 029</w:t>
      </w:r>
      <w:r w:rsidRPr="0094538C">
        <w:rPr>
          <w:rFonts w:ascii="Garamond" w:hAnsi="Garamond"/>
        </w:rPr>
        <w:t xml:space="preserve">, e-mail: </w:t>
      </w:r>
      <w:hyperlink r:id="rId8" w:history="1">
        <w:r w:rsidR="007A70D6" w:rsidRPr="0094538C">
          <w:rPr>
            <w:rStyle w:val="Hypertextovodkaz"/>
            <w:rFonts w:ascii="Garamond" w:hAnsi="Garamond"/>
          </w:rPr>
          <w:t>svojtkova.martina@ksusk.cz</w:t>
        </w:r>
      </w:hyperlink>
    </w:p>
    <w:p w14:paraId="13B630DA" w14:textId="77777777" w:rsidR="007A70D6" w:rsidRPr="0094538C" w:rsidRDefault="007A70D6" w:rsidP="007A70D6">
      <w:pPr>
        <w:widowControl w:val="0"/>
        <w:autoSpaceDE w:val="0"/>
        <w:autoSpaceDN w:val="0"/>
        <w:adjustRightInd w:val="0"/>
        <w:ind w:left="1068" w:hanging="360"/>
        <w:rPr>
          <w:rFonts w:ascii="Garamond" w:hAnsi="Garamond"/>
        </w:rPr>
      </w:pPr>
      <w:r w:rsidRPr="0094538C">
        <w:rPr>
          <w:rFonts w:ascii="Garamond" w:hAnsi="Garamond"/>
        </w:rPr>
        <w:t xml:space="preserve">Odp. pracovník: Ing. Kateřina Matějková, mobil: 777 265 881, </w:t>
      </w:r>
    </w:p>
    <w:p w14:paraId="0361BF07" w14:textId="75012734" w:rsidR="007A70D6" w:rsidRDefault="007A70D6" w:rsidP="007A70D6">
      <w:pPr>
        <w:widowControl w:val="0"/>
        <w:autoSpaceDE w:val="0"/>
        <w:autoSpaceDN w:val="0"/>
        <w:adjustRightInd w:val="0"/>
        <w:ind w:left="1068" w:hanging="360"/>
        <w:rPr>
          <w:rFonts w:ascii="Garamond" w:hAnsi="Garamond"/>
        </w:rPr>
      </w:pPr>
      <w:r w:rsidRPr="0094538C">
        <w:rPr>
          <w:rFonts w:ascii="Garamond" w:hAnsi="Garamond"/>
        </w:rPr>
        <w:t xml:space="preserve">e-mail: </w:t>
      </w:r>
      <w:hyperlink r:id="rId9" w:history="1">
        <w:r w:rsidRPr="0094538C">
          <w:rPr>
            <w:rStyle w:val="Hypertextovodkaz"/>
            <w:rFonts w:ascii="Garamond" w:hAnsi="Garamond"/>
          </w:rPr>
          <w:t>matejkova.katerina@ksusk.cz</w:t>
        </w:r>
      </w:hyperlink>
    </w:p>
    <w:p w14:paraId="4166A675" w14:textId="7116310D" w:rsidR="00900702" w:rsidRPr="00900702" w:rsidRDefault="007A70D6" w:rsidP="007A70D6">
      <w:pPr>
        <w:widowControl w:val="0"/>
        <w:autoSpaceDE w:val="0"/>
        <w:autoSpaceDN w:val="0"/>
        <w:adjustRightInd w:val="0"/>
        <w:ind w:left="1068" w:hanging="360"/>
        <w:rPr>
          <w:rFonts w:ascii="Garamond" w:hAnsi="Garamond"/>
        </w:rPr>
      </w:pPr>
      <w:r>
        <w:rPr>
          <w:rFonts w:ascii="Garamond" w:hAnsi="Garamond"/>
        </w:rPr>
        <w:t>(</w:t>
      </w:r>
      <w:r w:rsidR="00900702" w:rsidRPr="00D57C48">
        <w:rPr>
          <w:rFonts w:ascii="Garamond" w:hAnsi="Garamond"/>
        </w:rPr>
        <w:t xml:space="preserve">dále jen </w:t>
      </w:r>
      <w:r w:rsidR="00900702">
        <w:rPr>
          <w:rFonts w:ascii="Garamond" w:hAnsi="Garamond"/>
          <w:i/>
        </w:rPr>
        <w:t>o</w:t>
      </w:r>
      <w:r w:rsidR="00900702" w:rsidRPr="00900702">
        <w:rPr>
          <w:rFonts w:ascii="Garamond" w:hAnsi="Garamond"/>
          <w:i/>
        </w:rPr>
        <w:t>bjednatel</w:t>
      </w:r>
      <w:r w:rsidR="00900702">
        <w:rPr>
          <w:rFonts w:ascii="Garamond" w:hAnsi="Garamond"/>
        </w:rPr>
        <w:t>)</w:t>
      </w:r>
    </w:p>
    <w:p w14:paraId="1A0CA57B" w14:textId="77777777" w:rsidR="00900702" w:rsidRPr="00D57C48" w:rsidRDefault="00900702" w:rsidP="00900702">
      <w:pPr>
        <w:jc w:val="both"/>
        <w:rPr>
          <w:rFonts w:ascii="Garamond" w:hAnsi="Garamond"/>
          <w:sz w:val="26"/>
        </w:rPr>
      </w:pPr>
    </w:p>
    <w:p w14:paraId="72352464" w14:textId="77777777" w:rsidR="00900702" w:rsidRPr="00D57C48" w:rsidRDefault="00900702" w:rsidP="00900702">
      <w:pPr>
        <w:ind w:firstLine="708"/>
        <w:rPr>
          <w:rFonts w:ascii="Garamond" w:hAnsi="Garamond"/>
          <w:sz w:val="26"/>
        </w:rPr>
      </w:pPr>
      <w:r w:rsidRPr="00D57C48">
        <w:rPr>
          <w:rFonts w:ascii="Garamond" w:hAnsi="Garamond"/>
          <w:sz w:val="26"/>
        </w:rPr>
        <w:t>a</w:t>
      </w:r>
    </w:p>
    <w:p w14:paraId="7BC1FFD1" w14:textId="77777777" w:rsidR="00900702" w:rsidRPr="00D57C48" w:rsidRDefault="00900702" w:rsidP="00900702">
      <w:pPr>
        <w:rPr>
          <w:rFonts w:ascii="Garamond" w:hAnsi="Garamond"/>
          <w:b/>
        </w:rPr>
      </w:pPr>
      <w:r w:rsidRPr="00D57C48">
        <w:rPr>
          <w:rFonts w:ascii="Garamond" w:hAnsi="Garamond"/>
          <w:b/>
        </w:rPr>
        <w:t xml:space="preserve"> </w:t>
      </w:r>
    </w:p>
    <w:p w14:paraId="5C7FFFEB"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589B21D"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7E82D0E8"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7B955455"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AD12B0E"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356D7A66"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43FD6B61"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6C0D374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520EDD8F" w14:textId="77777777" w:rsidR="00900702" w:rsidRPr="00D57C48" w:rsidRDefault="00900702" w:rsidP="00900702">
      <w:pPr>
        <w:ind w:firstLine="708"/>
        <w:rPr>
          <w:rFonts w:ascii="Garamond" w:hAnsi="Garamond"/>
        </w:rPr>
      </w:pPr>
      <w:r w:rsidRPr="00D57C48">
        <w:rPr>
          <w:rFonts w:ascii="Garamond" w:hAnsi="Garamond"/>
        </w:rPr>
        <w:t>Číslo účtu:</w:t>
      </w:r>
    </w:p>
    <w:p w14:paraId="1F56A279"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59A3C88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7B50FBAB"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6CD3CF65" w14:textId="77777777" w:rsidR="00900702" w:rsidRDefault="00900702" w:rsidP="00900702">
      <w:pPr>
        <w:pStyle w:val="Zkladntext"/>
        <w:spacing w:line="240" w:lineRule="atLeast"/>
        <w:ind w:firstLine="708"/>
        <w:jc w:val="left"/>
        <w:rPr>
          <w:rFonts w:ascii="Garamond" w:hAnsi="Garamond"/>
        </w:rPr>
      </w:pPr>
    </w:p>
    <w:p w14:paraId="14C854B3"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4660601" w14:textId="77777777" w:rsidR="001D2EEC" w:rsidRDefault="001D2EEC" w:rsidP="00900702">
      <w:pPr>
        <w:pStyle w:val="Zkladntext"/>
        <w:spacing w:line="240" w:lineRule="atLeast"/>
        <w:ind w:firstLine="708"/>
        <w:jc w:val="left"/>
        <w:rPr>
          <w:rFonts w:ascii="Garamond" w:hAnsi="Garamond"/>
          <w:sz w:val="24"/>
          <w:szCs w:val="24"/>
        </w:rPr>
      </w:pPr>
    </w:p>
    <w:p w14:paraId="3901504C"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27237B9" w14:textId="77777777" w:rsidR="00900702" w:rsidRPr="00D57C48" w:rsidRDefault="00900702" w:rsidP="00900702">
      <w:pPr>
        <w:pStyle w:val="Zkladntext"/>
        <w:rPr>
          <w:rFonts w:ascii="Garamond" w:hAnsi="Garamond"/>
          <w:b/>
          <w:sz w:val="26"/>
        </w:rPr>
      </w:pPr>
    </w:p>
    <w:p w14:paraId="72D06BF3" w14:textId="343C40B9" w:rsidR="00900702" w:rsidRDefault="00900702" w:rsidP="00900702">
      <w:pPr>
        <w:pStyle w:val="Zkladntext"/>
        <w:tabs>
          <w:tab w:val="left" w:pos="4395"/>
        </w:tabs>
        <w:rPr>
          <w:rFonts w:ascii="Garamond" w:hAnsi="Garamond"/>
          <w:b/>
          <w:sz w:val="28"/>
          <w:szCs w:val="28"/>
        </w:rPr>
      </w:pPr>
      <w:r w:rsidRPr="00D57C48">
        <w:rPr>
          <w:rFonts w:ascii="Garamond" w:hAnsi="Garamond"/>
          <w:b/>
          <w:sz w:val="28"/>
          <w:szCs w:val="28"/>
        </w:rPr>
        <w:t xml:space="preserve">Název akce: </w:t>
      </w:r>
      <w:r w:rsidR="00802971" w:rsidRPr="00802971">
        <w:rPr>
          <w:rFonts w:ascii="Garamond" w:hAnsi="Garamond"/>
          <w:b/>
          <w:sz w:val="28"/>
          <w:szCs w:val="28"/>
        </w:rPr>
        <w:t xml:space="preserve">Zdrsňující mikrokoberec na sil. II/213 </w:t>
      </w:r>
      <w:proofErr w:type="spellStart"/>
      <w:proofErr w:type="gramStart"/>
      <w:r w:rsidR="00802971" w:rsidRPr="00802971">
        <w:rPr>
          <w:rFonts w:ascii="Garamond" w:hAnsi="Garamond"/>
          <w:b/>
          <w:sz w:val="28"/>
          <w:szCs w:val="28"/>
        </w:rPr>
        <w:t>Hrzín</w:t>
      </w:r>
      <w:proofErr w:type="spellEnd"/>
      <w:r w:rsidR="00802971" w:rsidRPr="00802971">
        <w:rPr>
          <w:rFonts w:ascii="Garamond" w:hAnsi="Garamond"/>
          <w:b/>
          <w:sz w:val="28"/>
          <w:szCs w:val="28"/>
        </w:rPr>
        <w:t xml:space="preserve"> - Křižovatka</w:t>
      </w:r>
      <w:proofErr w:type="gramEnd"/>
    </w:p>
    <w:p w14:paraId="71903E88" w14:textId="77777777" w:rsidR="00054907" w:rsidRDefault="00054907" w:rsidP="00900702">
      <w:pPr>
        <w:pStyle w:val="Zkladntext"/>
        <w:tabs>
          <w:tab w:val="left" w:pos="4395"/>
        </w:tabs>
        <w:rPr>
          <w:rFonts w:ascii="Garamond" w:hAnsi="Garamond"/>
          <w:b/>
          <w:sz w:val="28"/>
          <w:szCs w:val="28"/>
        </w:rPr>
      </w:pPr>
    </w:p>
    <w:p w14:paraId="5C5696E4" w14:textId="77777777" w:rsidR="00054907" w:rsidRDefault="00054907" w:rsidP="00900702">
      <w:pPr>
        <w:pStyle w:val="Zkladntext"/>
        <w:tabs>
          <w:tab w:val="left" w:pos="4395"/>
        </w:tabs>
        <w:rPr>
          <w:rFonts w:ascii="Garamond" w:hAnsi="Garamond"/>
          <w:b/>
          <w:sz w:val="28"/>
          <w:szCs w:val="28"/>
        </w:rPr>
      </w:pPr>
    </w:p>
    <w:p w14:paraId="4F6F6A8E" w14:textId="77777777" w:rsidR="00054907" w:rsidRDefault="00054907" w:rsidP="00900702">
      <w:pPr>
        <w:pStyle w:val="Zkladntext"/>
        <w:tabs>
          <w:tab w:val="left" w:pos="4395"/>
        </w:tabs>
        <w:rPr>
          <w:rFonts w:ascii="Garamond" w:hAnsi="Garamond"/>
          <w:b/>
          <w:sz w:val="28"/>
          <w:szCs w:val="28"/>
        </w:rPr>
      </w:pPr>
    </w:p>
    <w:p w14:paraId="3F55F084" w14:textId="77777777" w:rsidR="00054907" w:rsidRPr="00D57C48" w:rsidRDefault="00054907" w:rsidP="00900702">
      <w:pPr>
        <w:pStyle w:val="Zkladntext"/>
        <w:tabs>
          <w:tab w:val="left" w:pos="4395"/>
        </w:tabs>
      </w:pPr>
    </w:p>
    <w:p w14:paraId="40CA4EE1" w14:textId="77777777" w:rsidR="00900702" w:rsidRPr="00D57C48" w:rsidRDefault="00900702" w:rsidP="00900702">
      <w:pPr>
        <w:pStyle w:val="Zkladntext"/>
      </w:pPr>
    </w:p>
    <w:p w14:paraId="2C40D30C" w14:textId="77777777" w:rsidR="00900702" w:rsidRPr="001D2EEC" w:rsidRDefault="001D2EEC" w:rsidP="00900702">
      <w:pPr>
        <w:pStyle w:val="Zkladntext"/>
        <w:rPr>
          <w:rFonts w:ascii="Garamond" w:hAnsi="Garamond"/>
          <w:b/>
          <w:sz w:val="24"/>
          <w:szCs w:val="24"/>
        </w:rPr>
      </w:pPr>
      <w:r>
        <w:rPr>
          <w:rFonts w:ascii="Garamond" w:hAnsi="Garamond"/>
          <w:b/>
          <w:sz w:val="24"/>
          <w:szCs w:val="24"/>
        </w:rPr>
        <w:lastRenderedPageBreak/>
        <w:t>I. POSTAVENÍ SMLUVNÍCH STRAN</w:t>
      </w:r>
    </w:p>
    <w:p w14:paraId="4DED4DDF" w14:textId="77777777" w:rsidR="00900702" w:rsidRPr="00D57C48" w:rsidRDefault="00900702" w:rsidP="00900702">
      <w:pPr>
        <w:pStyle w:val="Zkladntext"/>
        <w:jc w:val="both"/>
        <w:rPr>
          <w:rFonts w:ascii="Garamond" w:hAnsi="Garamond"/>
          <w:szCs w:val="22"/>
        </w:rPr>
      </w:pPr>
    </w:p>
    <w:p w14:paraId="23D14E0A"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2FAB89EF"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62D7676B" w14:textId="77777777" w:rsidR="00900702" w:rsidRPr="00D57C48" w:rsidRDefault="00900702" w:rsidP="00900702">
      <w:pPr>
        <w:pStyle w:val="Zkladntext"/>
        <w:jc w:val="both"/>
        <w:rPr>
          <w:rFonts w:ascii="Garamond" w:hAnsi="Garamond"/>
          <w:b/>
          <w:szCs w:val="22"/>
        </w:rPr>
      </w:pPr>
    </w:p>
    <w:p w14:paraId="7CA76CA7"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3E003B61" w14:textId="77777777" w:rsidR="00900702" w:rsidRPr="00D57C48" w:rsidRDefault="00900702" w:rsidP="00900702">
      <w:pPr>
        <w:pStyle w:val="Zkladntext"/>
        <w:jc w:val="both"/>
        <w:rPr>
          <w:rFonts w:ascii="Garamond" w:hAnsi="Garamond"/>
          <w:szCs w:val="22"/>
        </w:rPr>
      </w:pPr>
    </w:p>
    <w:p w14:paraId="29F2C3B1"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614A33C4"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76B0D791" w14:textId="77777777" w:rsidR="00900702" w:rsidRPr="00D57C48" w:rsidRDefault="00900702" w:rsidP="00900702">
      <w:pPr>
        <w:rPr>
          <w:rFonts w:ascii="Garamond" w:hAnsi="Garamond"/>
          <w:sz w:val="22"/>
          <w:szCs w:val="22"/>
        </w:rPr>
      </w:pPr>
    </w:p>
    <w:p w14:paraId="794ACF0E"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45F6562E" w14:textId="77777777" w:rsidR="00900702" w:rsidRPr="00D57C48" w:rsidRDefault="00900702" w:rsidP="00900702">
      <w:pPr>
        <w:pStyle w:val="Zkladntextodsazen3"/>
        <w:spacing w:before="60" w:after="60"/>
        <w:ind w:firstLine="0"/>
        <w:rPr>
          <w:rFonts w:ascii="Garamond" w:hAnsi="Garamond"/>
          <w:szCs w:val="22"/>
        </w:rPr>
      </w:pPr>
    </w:p>
    <w:p w14:paraId="6B9E144A" w14:textId="77777777" w:rsidR="00802971" w:rsidRDefault="00975D8C" w:rsidP="00900702">
      <w:pPr>
        <w:numPr>
          <w:ilvl w:val="0"/>
          <w:numId w:val="20"/>
        </w:numPr>
        <w:ind w:left="567" w:hanging="567"/>
        <w:jc w:val="both"/>
        <w:rPr>
          <w:rFonts w:ascii="Garamond" w:hAnsi="Garamond"/>
          <w:sz w:val="22"/>
          <w:szCs w:val="22"/>
        </w:rPr>
      </w:pPr>
      <w:r w:rsidRPr="00802971">
        <w:rPr>
          <w:rFonts w:ascii="Garamond" w:hAnsi="Garamond"/>
          <w:sz w:val="22"/>
          <w:szCs w:val="22"/>
        </w:rPr>
        <w:t>Zhotovitel se zavazuje</w:t>
      </w:r>
      <w:r w:rsidR="00900702" w:rsidRPr="00802971">
        <w:rPr>
          <w:rFonts w:ascii="Garamond" w:hAnsi="Garamond"/>
          <w:sz w:val="22"/>
          <w:szCs w:val="22"/>
        </w:rPr>
        <w:t xml:space="preserve"> </w:t>
      </w:r>
      <w:r w:rsidR="00751AD1" w:rsidRPr="00802971">
        <w:rPr>
          <w:rFonts w:ascii="Garamond" w:hAnsi="Garamond"/>
          <w:sz w:val="22"/>
          <w:szCs w:val="22"/>
        </w:rPr>
        <w:t>zhotovit dílo</w:t>
      </w:r>
      <w:r w:rsidR="00900702" w:rsidRPr="00802971">
        <w:rPr>
          <w:rFonts w:ascii="Garamond" w:hAnsi="Garamond"/>
          <w:sz w:val="22"/>
          <w:szCs w:val="22"/>
        </w:rPr>
        <w:t xml:space="preserve"> pod označením </w:t>
      </w:r>
      <w:r w:rsidR="00054907" w:rsidRPr="00802971">
        <w:rPr>
          <w:rFonts w:ascii="Garamond" w:hAnsi="Garamond"/>
          <w:sz w:val="22"/>
          <w:szCs w:val="22"/>
        </w:rPr>
        <w:t>„</w:t>
      </w:r>
      <w:r w:rsidR="00802971" w:rsidRPr="00802971">
        <w:rPr>
          <w:rFonts w:ascii="Garamond" w:hAnsi="Garamond"/>
          <w:sz w:val="22"/>
          <w:szCs w:val="22"/>
        </w:rPr>
        <w:t xml:space="preserve">Zdrsňující mikrokoberec na sil. II/213 </w:t>
      </w:r>
      <w:proofErr w:type="spellStart"/>
      <w:proofErr w:type="gramStart"/>
      <w:r w:rsidR="00802971" w:rsidRPr="00802971">
        <w:rPr>
          <w:rFonts w:ascii="Garamond" w:hAnsi="Garamond"/>
          <w:sz w:val="22"/>
          <w:szCs w:val="22"/>
        </w:rPr>
        <w:t>Hrzín</w:t>
      </w:r>
      <w:proofErr w:type="spellEnd"/>
      <w:r w:rsidR="00802971" w:rsidRPr="00802971">
        <w:rPr>
          <w:rFonts w:ascii="Garamond" w:hAnsi="Garamond"/>
          <w:sz w:val="22"/>
          <w:szCs w:val="22"/>
        </w:rPr>
        <w:t xml:space="preserve"> - Křižovatka</w:t>
      </w:r>
      <w:proofErr w:type="gramEnd"/>
      <w:r w:rsidR="00054907" w:rsidRPr="00802971">
        <w:rPr>
          <w:rFonts w:ascii="Garamond" w:hAnsi="Garamond"/>
          <w:sz w:val="22"/>
          <w:szCs w:val="22"/>
        </w:rPr>
        <w:t xml:space="preserve">“ </w:t>
      </w:r>
      <w:r w:rsidR="00900702" w:rsidRPr="00802971">
        <w:rPr>
          <w:rFonts w:ascii="Garamond" w:hAnsi="Garamond"/>
          <w:sz w:val="22"/>
          <w:szCs w:val="22"/>
        </w:rPr>
        <w:t>dle podmínek této smlouvy</w:t>
      </w:r>
      <w:r w:rsidR="00054907" w:rsidRPr="00802971">
        <w:rPr>
          <w:rFonts w:ascii="Garamond" w:hAnsi="Garamond"/>
          <w:sz w:val="22"/>
          <w:szCs w:val="22"/>
        </w:rPr>
        <w:t xml:space="preserve">. </w:t>
      </w:r>
    </w:p>
    <w:p w14:paraId="03386B52" w14:textId="77777777" w:rsidR="00802971" w:rsidRDefault="00802971" w:rsidP="00802971">
      <w:pPr>
        <w:ind w:left="567"/>
        <w:jc w:val="both"/>
        <w:rPr>
          <w:rFonts w:ascii="Garamond" w:hAnsi="Garamond"/>
          <w:b/>
          <w:sz w:val="22"/>
          <w:szCs w:val="22"/>
        </w:rPr>
      </w:pPr>
    </w:p>
    <w:p w14:paraId="7ADB5463" w14:textId="5D13CC9A" w:rsidR="00802971" w:rsidRPr="00802971" w:rsidRDefault="00802971" w:rsidP="00802971">
      <w:pPr>
        <w:ind w:left="567"/>
        <w:jc w:val="both"/>
        <w:rPr>
          <w:rFonts w:ascii="Garamond" w:hAnsi="Garamond"/>
          <w:sz w:val="22"/>
          <w:szCs w:val="22"/>
        </w:rPr>
      </w:pPr>
      <w:r w:rsidRPr="00802971">
        <w:rPr>
          <w:rFonts w:ascii="Garamond" w:hAnsi="Garamond"/>
          <w:b/>
          <w:sz w:val="22"/>
          <w:szCs w:val="22"/>
        </w:rPr>
        <w:t>Jedná se o opravu povrchu silnice II/213 v km cca 1,776 – 4,130 (délka úseku 2 354 bm, plocha 15.301 m2) očištěním vozovky, výspravou tryskovou metodou 50</w:t>
      </w:r>
      <w:r>
        <w:rPr>
          <w:rFonts w:ascii="Garamond" w:hAnsi="Garamond"/>
          <w:b/>
          <w:sz w:val="22"/>
          <w:szCs w:val="22"/>
        </w:rPr>
        <w:t xml:space="preserve"> </w:t>
      </w:r>
      <w:r w:rsidRPr="00802971">
        <w:rPr>
          <w:rFonts w:ascii="Garamond" w:hAnsi="Garamond"/>
          <w:b/>
          <w:sz w:val="22"/>
          <w:szCs w:val="22"/>
        </w:rPr>
        <w:t>t a pokládkou dvo</w:t>
      </w:r>
      <w:r w:rsidR="00D914E2">
        <w:rPr>
          <w:rFonts w:ascii="Garamond" w:hAnsi="Garamond"/>
          <w:b/>
          <w:sz w:val="22"/>
          <w:szCs w:val="22"/>
        </w:rPr>
        <w:t>u</w:t>
      </w:r>
      <w:r w:rsidRPr="00802971">
        <w:rPr>
          <w:rFonts w:ascii="Garamond" w:hAnsi="Garamond"/>
          <w:b/>
          <w:sz w:val="22"/>
          <w:szCs w:val="22"/>
        </w:rPr>
        <w:t xml:space="preserve">vrstvého zdrsňujícího mikrokoberce </w:t>
      </w:r>
      <w:proofErr w:type="spellStart"/>
      <w:r w:rsidRPr="00802971">
        <w:rPr>
          <w:rFonts w:ascii="Garamond" w:hAnsi="Garamond"/>
          <w:b/>
          <w:sz w:val="22"/>
          <w:szCs w:val="22"/>
        </w:rPr>
        <w:t>tl</w:t>
      </w:r>
      <w:proofErr w:type="spellEnd"/>
      <w:r w:rsidRPr="00802971">
        <w:rPr>
          <w:rFonts w:ascii="Garamond" w:hAnsi="Garamond"/>
          <w:b/>
          <w:sz w:val="22"/>
          <w:szCs w:val="22"/>
        </w:rPr>
        <w:t xml:space="preserve">. 0,5/0,8 cm hrubozrnného. Po dokončení opravy krytu bude provedeno nové vodorovné značení bílou </w:t>
      </w:r>
      <w:proofErr w:type="spellStart"/>
      <w:r w:rsidRPr="00802971">
        <w:rPr>
          <w:rFonts w:ascii="Garamond" w:hAnsi="Garamond"/>
          <w:b/>
          <w:sz w:val="22"/>
          <w:szCs w:val="22"/>
        </w:rPr>
        <w:t>retroreflexní</w:t>
      </w:r>
      <w:proofErr w:type="spellEnd"/>
      <w:r w:rsidRPr="00802971">
        <w:rPr>
          <w:rFonts w:ascii="Garamond" w:hAnsi="Garamond"/>
          <w:b/>
          <w:sz w:val="22"/>
          <w:szCs w:val="22"/>
        </w:rPr>
        <w:t xml:space="preserve"> barvou vodící čáry šířky 125 mm.</w:t>
      </w:r>
    </w:p>
    <w:p w14:paraId="2DFAF7BF" w14:textId="77777777" w:rsidR="00802971" w:rsidRDefault="00802971" w:rsidP="00802971">
      <w:pPr>
        <w:jc w:val="both"/>
        <w:rPr>
          <w:rFonts w:ascii="Garamond" w:hAnsi="Garamond"/>
          <w:sz w:val="22"/>
          <w:szCs w:val="22"/>
        </w:rPr>
      </w:pPr>
    </w:p>
    <w:p w14:paraId="7867F2C4" w14:textId="2679E961" w:rsidR="00900702" w:rsidRPr="00802971" w:rsidRDefault="00900702" w:rsidP="00900702">
      <w:pPr>
        <w:numPr>
          <w:ilvl w:val="0"/>
          <w:numId w:val="20"/>
        </w:numPr>
        <w:ind w:left="567" w:hanging="567"/>
        <w:jc w:val="both"/>
        <w:rPr>
          <w:rFonts w:ascii="Garamond" w:hAnsi="Garamond"/>
          <w:sz w:val="22"/>
          <w:szCs w:val="22"/>
        </w:rPr>
      </w:pPr>
      <w:r w:rsidRPr="00802971">
        <w:rPr>
          <w:rFonts w:ascii="Garamond" w:hAnsi="Garamond"/>
          <w:sz w:val="22"/>
          <w:szCs w:val="22"/>
        </w:rPr>
        <w:t xml:space="preserve">Zhotovitel bere na vědomí a prohlašuje, že jsou mu </w:t>
      </w:r>
      <w:r w:rsidR="00613C40" w:rsidRPr="00802971">
        <w:rPr>
          <w:rFonts w:ascii="Garamond" w:hAnsi="Garamond"/>
          <w:sz w:val="22"/>
          <w:szCs w:val="22"/>
        </w:rPr>
        <w:t xml:space="preserve">známy </w:t>
      </w:r>
      <w:r w:rsidRPr="00802971">
        <w:rPr>
          <w:rFonts w:ascii="Garamond" w:hAnsi="Garamond"/>
          <w:sz w:val="22"/>
          <w:szCs w:val="22"/>
        </w:rPr>
        <w:t xml:space="preserve">podmínky </w:t>
      </w:r>
      <w:r w:rsidR="00613C40" w:rsidRPr="00802971">
        <w:rPr>
          <w:rFonts w:ascii="Garamond" w:hAnsi="Garamond"/>
          <w:sz w:val="22"/>
          <w:szCs w:val="22"/>
        </w:rPr>
        <w:t xml:space="preserve">a </w:t>
      </w:r>
      <w:r w:rsidRPr="00802971">
        <w:rPr>
          <w:rFonts w:ascii="Garamond" w:hAnsi="Garamond"/>
          <w:sz w:val="22"/>
          <w:szCs w:val="22"/>
        </w:rPr>
        <w:t>zavazuje se postupovat v souladu s níže uvedenou dokum</w:t>
      </w:r>
      <w:r w:rsidR="00613C40" w:rsidRPr="00802971">
        <w:rPr>
          <w:rFonts w:ascii="Garamond" w:hAnsi="Garamond"/>
          <w:sz w:val="22"/>
          <w:szCs w:val="22"/>
        </w:rPr>
        <w:t>entací, která blíže specifikuje</w:t>
      </w:r>
      <w:r w:rsidRPr="00802971">
        <w:rPr>
          <w:rFonts w:ascii="Garamond" w:hAnsi="Garamond"/>
          <w:sz w:val="22"/>
          <w:szCs w:val="22"/>
        </w:rPr>
        <w:t xml:space="preserve"> </w:t>
      </w:r>
      <w:r w:rsidR="00751AD1" w:rsidRPr="00802971">
        <w:rPr>
          <w:rFonts w:ascii="Garamond" w:hAnsi="Garamond"/>
          <w:sz w:val="22"/>
          <w:szCs w:val="22"/>
        </w:rPr>
        <w:t>d</w:t>
      </w:r>
      <w:r w:rsidRPr="00802971">
        <w:rPr>
          <w:rFonts w:ascii="Garamond" w:hAnsi="Garamond"/>
          <w:sz w:val="22"/>
          <w:szCs w:val="22"/>
        </w:rPr>
        <w:t>íl</w:t>
      </w:r>
      <w:r w:rsidR="00613C40" w:rsidRPr="00802971">
        <w:rPr>
          <w:rFonts w:ascii="Garamond" w:hAnsi="Garamond"/>
          <w:sz w:val="22"/>
          <w:szCs w:val="22"/>
        </w:rPr>
        <w:t>o</w:t>
      </w:r>
      <w:r w:rsidRPr="00802971">
        <w:rPr>
          <w:rFonts w:ascii="Garamond" w:hAnsi="Garamond"/>
          <w:sz w:val="22"/>
          <w:szCs w:val="22"/>
        </w:rPr>
        <w:t xml:space="preserve"> v době uzavírání této smlouvy (specifikace </w:t>
      </w:r>
      <w:r w:rsidR="00751AD1" w:rsidRPr="00802971">
        <w:rPr>
          <w:rFonts w:ascii="Garamond" w:hAnsi="Garamond"/>
          <w:sz w:val="22"/>
          <w:szCs w:val="22"/>
        </w:rPr>
        <w:t>d</w:t>
      </w:r>
      <w:r w:rsidRPr="00802971">
        <w:rPr>
          <w:rFonts w:ascii="Garamond" w:hAnsi="Garamond"/>
          <w:sz w:val="22"/>
          <w:szCs w:val="22"/>
        </w:rPr>
        <w:t>íla) a které jsou pro zhotovitele závazné:</w:t>
      </w:r>
    </w:p>
    <w:p w14:paraId="46D92F7C" w14:textId="13656668"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D165BA">
        <w:rPr>
          <w:rFonts w:ascii="Garamond" w:hAnsi="Garamond"/>
          <w:sz w:val="22"/>
          <w:szCs w:val="22"/>
        </w:rPr>
        <w:t>. 140/MR/SÚ/2024</w:t>
      </w:r>
    </w:p>
    <w:p w14:paraId="14FF703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268051A9"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23C980E9"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04632D2F"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6BC922F0"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1E4E3A3D"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3A1D031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060D37E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4426F7A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25F8A8BA"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4F6DAB3B"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lastRenderedPageBreak/>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13B87DA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27BA4EA2"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31676F33"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6821C2E7"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723F0DC7"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780080C7"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46594B4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AAAB04C" w14:textId="620092AC"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předání objednateli protokol</w:t>
      </w:r>
      <w:r w:rsidR="00802971">
        <w:rPr>
          <w:rFonts w:ascii="Garamond" w:hAnsi="Garamond"/>
          <w:sz w:val="22"/>
          <w:szCs w:val="22"/>
        </w:rPr>
        <w:t>ů</w:t>
      </w:r>
      <w:r w:rsidRPr="007E7F38">
        <w:rPr>
          <w:rFonts w:ascii="Garamond" w:hAnsi="Garamond"/>
          <w:sz w:val="22"/>
          <w:szCs w:val="22"/>
        </w:rPr>
        <w:t xml:space="preserve"> a záznam</w:t>
      </w:r>
      <w:r w:rsidR="00802971">
        <w:rPr>
          <w:rFonts w:ascii="Garamond" w:hAnsi="Garamond"/>
          <w:sz w:val="22"/>
          <w:szCs w:val="22"/>
        </w:rPr>
        <w:t>ů</w:t>
      </w:r>
      <w:r w:rsidRPr="007E7F38">
        <w:rPr>
          <w:rFonts w:ascii="Garamond" w:hAnsi="Garamond"/>
          <w:sz w:val="22"/>
          <w:szCs w:val="22"/>
        </w:rPr>
        <w:t xml:space="preserve">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313A3FF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22B46682"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DCD4E28"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483C58EE" w14:textId="77777777" w:rsidR="00900702" w:rsidRPr="00D57C48" w:rsidRDefault="00900702" w:rsidP="00900702">
      <w:pPr>
        <w:jc w:val="both"/>
        <w:rPr>
          <w:rFonts w:ascii="Garamond" w:hAnsi="Garamond"/>
          <w:sz w:val="22"/>
          <w:szCs w:val="22"/>
        </w:rPr>
      </w:pPr>
    </w:p>
    <w:p w14:paraId="4E2C7ACD"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1B6FEA3C" w14:textId="77777777" w:rsidR="00900702" w:rsidRPr="00D57C48" w:rsidRDefault="00900702" w:rsidP="00900702">
      <w:pPr>
        <w:keepNext/>
        <w:jc w:val="both"/>
        <w:rPr>
          <w:rFonts w:ascii="Garamond" w:hAnsi="Garamond"/>
          <w:sz w:val="22"/>
          <w:szCs w:val="22"/>
        </w:rPr>
      </w:pPr>
    </w:p>
    <w:p w14:paraId="2F79B885"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6BA88D0C"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3C37F12F" w14:textId="597D00DF"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054907">
        <w:rPr>
          <w:rFonts w:ascii="Garamond" w:hAnsi="Garamond"/>
          <w:szCs w:val="22"/>
        </w:rPr>
        <w:t>0</w:t>
      </w:r>
      <w:r w:rsidR="00D165BA">
        <w:rPr>
          <w:rFonts w:ascii="Garamond" w:hAnsi="Garamond"/>
          <w:szCs w:val="22"/>
        </w:rPr>
        <w:t>9</w:t>
      </w:r>
      <w:r w:rsidR="00054907">
        <w:rPr>
          <w:rFonts w:ascii="Garamond" w:hAnsi="Garamond"/>
          <w:szCs w:val="22"/>
        </w:rPr>
        <w:t>/2024</w:t>
      </w:r>
      <w:r w:rsidR="00900702" w:rsidRPr="00D57C48">
        <w:rPr>
          <w:rFonts w:ascii="Garamond" w:hAnsi="Garamond"/>
          <w:szCs w:val="22"/>
        </w:rPr>
        <w:t xml:space="preserve"> </w:t>
      </w:r>
    </w:p>
    <w:p w14:paraId="492C5A3C" w14:textId="7D629EA7"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054907">
        <w:rPr>
          <w:rFonts w:ascii="Garamond" w:hAnsi="Garamond"/>
          <w:szCs w:val="22"/>
        </w:rPr>
        <w:t>10</w:t>
      </w:r>
      <w:r w:rsidR="00900702" w:rsidRPr="00D57C48">
        <w:rPr>
          <w:rFonts w:ascii="Garamond" w:hAnsi="Garamond"/>
          <w:szCs w:val="22"/>
        </w:rPr>
        <w:t xml:space="preserve"> kalendářních dnů od předání a převzetí staveniště</w:t>
      </w:r>
    </w:p>
    <w:p w14:paraId="458E988C" w14:textId="1B4B4C7C"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054907" w:rsidRPr="00054907">
        <w:rPr>
          <w:rFonts w:ascii="Garamond" w:hAnsi="Garamond"/>
          <w:b/>
          <w:bCs/>
          <w:szCs w:val="22"/>
        </w:rPr>
        <w:t>30. 09. 2024</w:t>
      </w:r>
      <w:r w:rsidR="00900702" w:rsidRPr="00D57C48">
        <w:rPr>
          <w:rFonts w:ascii="Garamond" w:hAnsi="Garamond"/>
          <w:szCs w:val="22"/>
        </w:rPr>
        <w:t xml:space="preserve"> </w:t>
      </w:r>
    </w:p>
    <w:p w14:paraId="0A7F0A28" w14:textId="1CDC98D0"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94538C">
        <w:rPr>
          <w:rFonts w:ascii="Garamond" w:hAnsi="Garamond"/>
          <w:szCs w:val="22"/>
        </w:rPr>
        <w:t>04. 10. 2024</w:t>
      </w:r>
      <w:r w:rsidR="00900702" w:rsidRPr="00D57C48">
        <w:rPr>
          <w:rFonts w:ascii="Garamond" w:hAnsi="Garamond"/>
          <w:szCs w:val="22"/>
        </w:rPr>
        <w:t xml:space="preserve">  </w:t>
      </w:r>
    </w:p>
    <w:p w14:paraId="46B54519"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33289C23"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37FAAC34"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6AD174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596347E6"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CA3079"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77B27DB3"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158D43E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6771A7FD"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0E4676EB"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404CDF53"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602057B4"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53D18B73" w14:textId="77777777" w:rsidR="00900702" w:rsidRPr="00D57C48" w:rsidRDefault="00900702" w:rsidP="00900702">
      <w:pPr>
        <w:pStyle w:val="Zkladntextodsazen3"/>
        <w:spacing w:after="60"/>
        <w:rPr>
          <w:rFonts w:ascii="Garamond" w:hAnsi="Garamond"/>
          <w:szCs w:val="22"/>
        </w:rPr>
      </w:pPr>
    </w:p>
    <w:p w14:paraId="28DFACAC"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27EFF98F" w14:textId="77777777" w:rsidR="00900702" w:rsidRPr="00D57C48" w:rsidRDefault="00900702" w:rsidP="00900702">
      <w:pPr>
        <w:ind w:left="709" w:hanging="147"/>
        <w:jc w:val="both"/>
        <w:rPr>
          <w:rFonts w:ascii="Garamond" w:hAnsi="Garamond"/>
          <w:sz w:val="22"/>
          <w:szCs w:val="22"/>
        </w:rPr>
      </w:pPr>
    </w:p>
    <w:p w14:paraId="3C45A9D5"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79123C6"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76164322"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F1A783F"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4583DD55"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6ECED48D"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0FBD1ACA"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64B96AB5"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383F8BDA" w14:textId="77777777" w:rsidR="00900702" w:rsidRPr="00D57C48" w:rsidRDefault="00900702" w:rsidP="00900702">
      <w:pPr>
        <w:ind w:left="720" w:hanging="720"/>
        <w:jc w:val="both"/>
        <w:rPr>
          <w:rFonts w:ascii="Garamond" w:hAnsi="Garamond"/>
          <w:sz w:val="22"/>
          <w:szCs w:val="22"/>
        </w:rPr>
      </w:pPr>
    </w:p>
    <w:p w14:paraId="78E50BD3"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0603917F"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51F161B8"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43EAC9B"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63708B33" w14:textId="77777777" w:rsidR="00900702" w:rsidRPr="00D57C48" w:rsidRDefault="00900702" w:rsidP="00900702">
      <w:pPr>
        <w:pStyle w:val="Zkladntext2"/>
        <w:ind w:left="1065"/>
        <w:rPr>
          <w:rFonts w:ascii="Garamond" w:hAnsi="Garamond"/>
          <w:szCs w:val="22"/>
        </w:rPr>
      </w:pPr>
    </w:p>
    <w:p w14:paraId="6F991C02"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w:t>
      </w:r>
      <w:r w:rsidRPr="00D57C48">
        <w:rPr>
          <w:rFonts w:ascii="Garamond" w:hAnsi="Garamond"/>
          <w:sz w:val="22"/>
          <w:szCs w:val="22"/>
        </w:rPr>
        <w:lastRenderedPageBreak/>
        <w:t xml:space="preserve">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5FD47BED"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75A30F08"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0B84A13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7A2A7A66"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4AA681B5"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0CAD0E5"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2FBCE0B8"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7C05D2AC"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06701CE7" w14:textId="2B97405B"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w:t>
      </w:r>
      <w:r w:rsidR="00D165BA">
        <w:rPr>
          <w:rFonts w:ascii="Garamond" w:hAnsi="Garamond"/>
          <w:szCs w:val="22"/>
        </w:rPr>
        <w:br/>
      </w:r>
      <w:r w:rsidRPr="00D57C48">
        <w:rPr>
          <w:rFonts w:ascii="Garamond" w:hAnsi="Garamond"/>
          <w:szCs w:val="22"/>
        </w:rPr>
        <w:t>č. 563/1991 Sb., o účetnictví</w:t>
      </w:r>
      <w:r w:rsidR="00F77C0E">
        <w:rPr>
          <w:rFonts w:ascii="Garamond" w:hAnsi="Garamond"/>
          <w:szCs w:val="22"/>
        </w:rPr>
        <w:t>, přičemž:</w:t>
      </w:r>
      <w:r w:rsidRPr="00D57C48">
        <w:rPr>
          <w:rFonts w:ascii="Garamond" w:hAnsi="Garamond"/>
          <w:szCs w:val="22"/>
        </w:rPr>
        <w:t xml:space="preserve"> </w:t>
      </w:r>
    </w:p>
    <w:p w14:paraId="16118CAF"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3A4EC2FB"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7A9AF3DE"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258A7FF0" w14:textId="77777777" w:rsidR="00900702" w:rsidRPr="00D57C48" w:rsidRDefault="00900702" w:rsidP="00900702">
      <w:pPr>
        <w:pStyle w:val="Zkladntext2"/>
        <w:ind w:left="885"/>
        <w:rPr>
          <w:rFonts w:ascii="Garamond" w:hAnsi="Garamond"/>
          <w:szCs w:val="22"/>
        </w:rPr>
      </w:pPr>
    </w:p>
    <w:p w14:paraId="4D5AF06E"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34C6886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lastRenderedPageBreak/>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3F6C769E"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3F0F6E01"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4DFBF7B3"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565A77FA"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67B98583" w14:textId="77777777" w:rsidR="00900702" w:rsidRPr="00D57C48" w:rsidRDefault="00900702" w:rsidP="00900702">
      <w:pPr>
        <w:pStyle w:val="Zkladntextodsazen3"/>
        <w:ind w:left="0" w:firstLine="0"/>
        <w:jc w:val="center"/>
        <w:rPr>
          <w:rFonts w:ascii="Garamond" w:hAnsi="Garamond"/>
          <w:b/>
          <w:szCs w:val="22"/>
        </w:rPr>
      </w:pPr>
    </w:p>
    <w:p w14:paraId="5343EEAC"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70280E87" w14:textId="77777777" w:rsidR="00900702" w:rsidRPr="00D57C48" w:rsidRDefault="00900702" w:rsidP="00900702">
      <w:pPr>
        <w:jc w:val="both"/>
        <w:rPr>
          <w:rFonts w:ascii="Garamond" w:hAnsi="Garamond"/>
          <w:sz w:val="22"/>
          <w:szCs w:val="22"/>
        </w:rPr>
      </w:pPr>
    </w:p>
    <w:p w14:paraId="4BC24D4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781B568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4BD4ADE0"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391F4304" w14:textId="77777777" w:rsidR="00900702" w:rsidRPr="00D57C48" w:rsidRDefault="00900702" w:rsidP="00900702">
      <w:pPr>
        <w:rPr>
          <w:rFonts w:ascii="Garamond" w:hAnsi="Garamond"/>
          <w:sz w:val="22"/>
          <w:szCs w:val="22"/>
        </w:rPr>
      </w:pPr>
    </w:p>
    <w:p w14:paraId="7F5AC5B8"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586018CE"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79A48580"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37A28A91"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71AABB4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3DE0AF59"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6FB3C7AA"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5EFFB8E5"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1365180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2856F75E"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2B5CA78B" w14:textId="77777777" w:rsidR="00900702" w:rsidRPr="00D57C48" w:rsidRDefault="00900702" w:rsidP="006937AF">
      <w:pPr>
        <w:pStyle w:val="Zkladntext2"/>
        <w:spacing w:after="60"/>
        <w:ind w:left="885"/>
        <w:rPr>
          <w:rFonts w:ascii="Garamond" w:hAnsi="Garamond"/>
          <w:szCs w:val="22"/>
        </w:rPr>
      </w:pPr>
    </w:p>
    <w:p w14:paraId="1C944389"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7EEF8F8B"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4762D137"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3500FF6D"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0253C747"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31097A1"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E95D51C"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251D4095"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6E434A7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268C1211"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69DEC6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5383A155"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7BD11942"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1FC301F3"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172E7C41"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6D618D32"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5272B139"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1505AD81"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15DDE085" w14:textId="77777777" w:rsidR="00900702" w:rsidRPr="00D57C48" w:rsidRDefault="00900702" w:rsidP="00900702"/>
    <w:p w14:paraId="7E14C088" w14:textId="77777777" w:rsidR="00D165BA" w:rsidRDefault="00D165BA" w:rsidP="00900702">
      <w:pPr>
        <w:pStyle w:val="Nadpis6"/>
        <w:tabs>
          <w:tab w:val="left" w:pos="720"/>
        </w:tabs>
        <w:rPr>
          <w:rFonts w:ascii="Garamond" w:hAnsi="Garamond"/>
          <w:sz w:val="24"/>
          <w:szCs w:val="24"/>
        </w:rPr>
      </w:pPr>
    </w:p>
    <w:p w14:paraId="79EED86A" w14:textId="77777777" w:rsidR="00D165BA" w:rsidRPr="00D165BA" w:rsidRDefault="00D165BA" w:rsidP="00D165BA"/>
    <w:p w14:paraId="7BFAF9B2" w14:textId="0FB717B2"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664A2862" w14:textId="77777777" w:rsidR="00900702" w:rsidRPr="00D57C48" w:rsidRDefault="00900702" w:rsidP="00900702">
      <w:pPr>
        <w:jc w:val="both"/>
        <w:rPr>
          <w:rFonts w:ascii="Garamond" w:hAnsi="Garamond"/>
          <w:b/>
          <w:sz w:val="22"/>
          <w:szCs w:val="22"/>
        </w:rPr>
      </w:pPr>
    </w:p>
    <w:p w14:paraId="45FC2838"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759FC668"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D8B6A5D"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387C1886"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0BC5A300"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80AF411"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17420B71" w14:textId="77777777" w:rsidR="00900702" w:rsidRPr="00D57C48" w:rsidRDefault="00900702" w:rsidP="00900702">
      <w:pPr>
        <w:jc w:val="both"/>
        <w:rPr>
          <w:rFonts w:ascii="Garamond" w:hAnsi="Garamond"/>
          <w:sz w:val="22"/>
          <w:szCs w:val="22"/>
        </w:rPr>
      </w:pPr>
    </w:p>
    <w:p w14:paraId="5BBDAAA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164939F1" w14:textId="77777777" w:rsidR="00900702" w:rsidRPr="00D57C48" w:rsidRDefault="00900702" w:rsidP="00900702">
      <w:pPr>
        <w:rPr>
          <w:rFonts w:ascii="Garamond" w:hAnsi="Garamond"/>
          <w:sz w:val="22"/>
          <w:szCs w:val="22"/>
        </w:rPr>
      </w:pPr>
    </w:p>
    <w:p w14:paraId="12408189" w14:textId="4865F8F2"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802971">
        <w:rPr>
          <w:rFonts w:ascii="Garamond" w:hAnsi="Garamond"/>
          <w:b/>
          <w:szCs w:val="22"/>
        </w:rPr>
        <w:t>24</w:t>
      </w:r>
      <w:r w:rsidR="00900702" w:rsidRPr="0094538C">
        <w:rPr>
          <w:rFonts w:ascii="Garamond" w:hAnsi="Garamond"/>
          <w:b/>
          <w:szCs w:val="22"/>
        </w:rPr>
        <w:t xml:space="preserve"> měsíců</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4FB613F9"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172921EF"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20078593"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5B9C1146"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0D4F7F1A"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3DCBC5AA" w14:textId="77777777" w:rsidR="00900702" w:rsidRPr="00D57C48" w:rsidRDefault="00900702" w:rsidP="00900702">
      <w:pPr>
        <w:pStyle w:val="Zkladntextodsazen3"/>
        <w:rPr>
          <w:rFonts w:ascii="Garamond" w:hAnsi="Garamond"/>
          <w:szCs w:val="22"/>
        </w:rPr>
      </w:pPr>
    </w:p>
    <w:p w14:paraId="4D6ACD98"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155E1AF6" w14:textId="77777777" w:rsidR="00900702" w:rsidRPr="00D57C48" w:rsidRDefault="00900702" w:rsidP="00900702">
      <w:pPr>
        <w:jc w:val="both"/>
        <w:rPr>
          <w:rFonts w:ascii="Garamond" w:hAnsi="Garamond"/>
          <w:b/>
          <w:sz w:val="22"/>
          <w:szCs w:val="22"/>
        </w:rPr>
      </w:pPr>
    </w:p>
    <w:p w14:paraId="563D0191"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7D720C56"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1B503854"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6F8DB65F"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2A9A3BC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79F3C5B6" w14:textId="77777777" w:rsidR="00900702" w:rsidRPr="00D57C48" w:rsidRDefault="00900702" w:rsidP="00900702">
      <w:pPr>
        <w:rPr>
          <w:rFonts w:ascii="Garamond" w:hAnsi="Garamond"/>
          <w:sz w:val="22"/>
          <w:szCs w:val="22"/>
        </w:rPr>
      </w:pPr>
    </w:p>
    <w:p w14:paraId="17F4CC75"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554695D" w14:textId="77777777" w:rsidR="00900702" w:rsidRPr="00D57C48" w:rsidRDefault="00900702" w:rsidP="00900702">
      <w:pPr>
        <w:jc w:val="both"/>
        <w:rPr>
          <w:rFonts w:ascii="Garamond" w:hAnsi="Garamond"/>
          <w:sz w:val="22"/>
          <w:szCs w:val="22"/>
        </w:rPr>
      </w:pPr>
    </w:p>
    <w:p w14:paraId="325AEBDA"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6516E694"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3A98BA8C"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10394D3A"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01545EAD"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1CC0B398"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27B6902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1C52DE1"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247DDCAE"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B87C96E"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7347445B"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101652E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43764EB1"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2CB5A4AF" w14:textId="77777777" w:rsidR="00900702" w:rsidRPr="00D57C48" w:rsidRDefault="00900702" w:rsidP="00900702">
      <w:pPr>
        <w:ind w:left="1425"/>
        <w:jc w:val="both"/>
        <w:rPr>
          <w:rFonts w:ascii="Garamond" w:hAnsi="Garamond"/>
          <w:sz w:val="22"/>
          <w:szCs w:val="22"/>
        </w:rPr>
      </w:pPr>
    </w:p>
    <w:p w14:paraId="4F7B92E2"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52BEC29D"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7B3CEB0E" w14:textId="77777777" w:rsidR="00900702" w:rsidRPr="00D57C48" w:rsidRDefault="00900702" w:rsidP="00900702">
      <w:pPr>
        <w:pStyle w:val="Zkladntextodsazen3"/>
        <w:spacing w:after="60"/>
        <w:ind w:firstLine="0"/>
        <w:rPr>
          <w:rFonts w:ascii="Garamond" w:hAnsi="Garamond"/>
          <w:szCs w:val="22"/>
        </w:rPr>
      </w:pPr>
    </w:p>
    <w:p w14:paraId="6B12791C"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3EBD1F48" w14:textId="77777777" w:rsidR="00900702" w:rsidRPr="00D57C48" w:rsidRDefault="00900702" w:rsidP="00900702"/>
    <w:p w14:paraId="7865ED96"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79588AED"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54D6949E"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4710483D"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56B03A01"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41AE1D24"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4FA0D3AE" w14:textId="77777777" w:rsidR="00900702" w:rsidRPr="00A86ABF" w:rsidRDefault="00900702" w:rsidP="00900702">
      <w:pPr>
        <w:ind w:left="567" w:hanging="567"/>
        <w:jc w:val="both"/>
        <w:rPr>
          <w:rFonts w:ascii="Garamond" w:hAnsi="Garamond"/>
          <w:sz w:val="22"/>
          <w:szCs w:val="22"/>
        </w:rPr>
      </w:pPr>
    </w:p>
    <w:p w14:paraId="67E59FBD"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6F2DF438" w14:textId="77777777" w:rsidR="00900702" w:rsidRPr="00D57C48" w:rsidRDefault="00900702" w:rsidP="00900702">
      <w:pPr>
        <w:keepNext/>
        <w:outlineLvl w:val="0"/>
        <w:rPr>
          <w:rFonts w:ascii="Garamond" w:hAnsi="Garamond"/>
          <w:b/>
          <w:color w:val="FF0000"/>
          <w:sz w:val="22"/>
          <w:szCs w:val="22"/>
        </w:rPr>
      </w:pPr>
    </w:p>
    <w:p w14:paraId="50FEEB06"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w:t>
      </w:r>
      <w:r w:rsidRPr="00D57C48">
        <w:rPr>
          <w:rFonts w:ascii="Garamond" w:hAnsi="Garamond"/>
          <w:sz w:val="22"/>
          <w:szCs w:val="22"/>
        </w:rPr>
        <w:lastRenderedPageBreak/>
        <w:t xml:space="preserve">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5E8B278F"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10"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1B7985BF" w14:textId="77777777" w:rsidR="00900702" w:rsidRPr="00D57C48" w:rsidRDefault="00900702" w:rsidP="00900702"/>
    <w:p w14:paraId="200CC056"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243B75D1" w14:textId="77777777" w:rsidR="00900702" w:rsidRPr="00D57C48" w:rsidRDefault="00900702" w:rsidP="00900702"/>
    <w:p w14:paraId="18238CD9"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26DF23F8"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5973B157"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4667450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02D0D386"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204F8051"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24FA6597"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35182B3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7B3FDE1C" w14:textId="77777777" w:rsidR="00900702" w:rsidRPr="00D57C48" w:rsidRDefault="00900702" w:rsidP="00900702">
      <w:pPr>
        <w:ind w:left="567" w:hanging="567"/>
      </w:pPr>
    </w:p>
    <w:p w14:paraId="5C38CA49"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09B544F0" w14:textId="1EDF90E0"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00D165BA">
        <w:rPr>
          <w:rFonts w:ascii="Garamond" w:hAnsi="Garamond"/>
          <w:sz w:val="22"/>
          <w:szCs w:val="22"/>
        </w:rPr>
        <w:t>č. 140/MR/SÚ/2024</w:t>
      </w:r>
    </w:p>
    <w:p w14:paraId="0A226CAE"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65AFF93E"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2AF9BBE8" w14:textId="77777777" w:rsidR="00900702" w:rsidRPr="00D57C48" w:rsidRDefault="00900702" w:rsidP="00900702">
      <w:pPr>
        <w:jc w:val="both"/>
        <w:rPr>
          <w:rFonts w:ascii="Garamond" w:hAnsi="Garamond"/>
          <w:sz w:val="22"/>
        </w:rPr>
      </w:pPr>
    </w:p>
    <w:p w14:paraId="49AA7AD6"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2492C3BC" w14:textId="77777777" w:rsidTr="00B7729C">
        <w:tc>
          <w:tcPr>
            <w:tcW w:w="4708" w:type="dxa"/>
            <w:shd w:val="clear" w:color="auto" w:fill="auto"/>
          </w:tcPr>
          <w:p w14:paraId="2C374F7E"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60F14FE4"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2577DA96" w14:textId="77777777" w:rsidTr="00B7729C">
        <w:tc>
          <w:tcPr>
            <w:tcW w:w="4708" w:type="dxa"/>
            <w:shd w:val="clear" w:color="auto" w:fill="auto"/>
          </w:tcPr>
          <w:p w14:paraId="2D6BB7F9" w14:textId="77777777" w:rsidR="00900702" w:rsidRPr="000B088D" w:rsidRDefault="00900702" w:rsidP="00B7729C">
            <w:pPr>
              <w:jc w:val="both"/>
              <w:rPr>
                <w:rFonts w:ascii="Garamond" w:hAnsi="Garamond"/>
              </w:rPr>
            </w:pPr>
          </w:p>
        </w:tc>
        <w:tc>
          <w:tcPr>
            <w:tcW w:w="4709" w:type="dxa"/>
            <w:shd w:val="clear" w:color="auto" w:fill="auto"/>
          </w:tcPr>
          <w:p w14:paraId="187D9989" w14:textId="77777777" w:rsidR="00900702" w:rsidRPr="000B088D" w:rsidRDefault="00900702" w:rsidP="00B7729C">
            <w:pPr>
              <w:ind w:left="720" w:hanging="720"/>
              <w:jc w:val="both"/>
              <w:rPr>
                <w:rFonts w:ascii="Garamond" w:hAnsi="Garamond"/>
                <w:b/>
              </w:rPr>
            </w:pPr>
          </w:p>
        </w:tc>
      </w:tr>
      <w:tr w:rsidR="00900702" w:rsidRPr="00D57C48" w14:paraId="0B45C0D1" w14:textId="77777777" w:rsidTr="00B7729C">
        <w:tc>
          <w:tcPr>
            <w:tcW w:w="4708" w:type="dxa"/>
            <w:shd w:val="clear" w:color="auto" w:fill="auto"/>
          </w:tcPr>
          <w:p w14:paraId="020980B7"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19BA640"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5F6BEBF1" w14:textId="77777777" w:rsidTr="00B7729C">
        <w:tc>
          <w:tcPr>
            <w:tcW w:w="4708" w:type="dxa"/>
            <w:shd w:val="clear" w:color="auto" w:fill="auto"/>
          </w:tcPr>
          <w:p w14:paraId="0E02DB0F" w14:textId="77777777" w:rsidR="00900702" w:rsidRPr="00D57C48" w:rsidRDefault="00900702" w:rsidP="00B7729C">
            <w:pPr>
              <w:jc w:val="both"/>
              <w:rPr>
                <w:rFonts w:ascii="Garamond" w:hAnsi="Garamond"/>
              </w:rPr>
            </w:pPr>
          </w:p>
          <w:p w14:paraId="1E9A8CB8" w14:textId="77777777" w:rsidR="00900702" w:rsidRPr="00D57C48" w:rsidRDefault="00900702" w:rsidP="00B7729C">
            <w:pPr>
              <w:jc w:val="both"/>
              <w:rPr>
                <w:rFonts w:ascii="Garamond" w:hAnsi="Garamond"/>
              </w:rPr>
            </w:pPr>
          </w:p>
          <w:p w14:paraId="2A152026" w14:textId="77777777" w:rsidR="00900702" w:rsidRPr="00D57C48" w:rsidRDefault="00900702" w:rsidP="00B7729C">
            <w:pPr>
              <w:jc w:val="both"/>
              <w:rPr>
                <w:rFonts w:ascii="Garamond" w:hAnsi="Garamond"/>
              </w:rPr>
            </w:pPr>
          </w:p>
        </w:tc>
        <w:tc>
          <w:tcPr>
            <w:tcW w:w="4709" w:type="dxa"/>
            <w:shd w:val="clear" w:color="auto" w:fill="auto"/>
          </w:tcPr>
          <w:p w14:paraId="077F1937" w14:textId="77777777" w:rsidR="00900702" w:rsidRPr="00D57C48" w:rsidRDefault="00900702" w:rsidP="00B7729C">
            <w:pPr>
              <w:ind w:left="720" w:hanging="720"/>
              <w:jc w:val="both"/>
              <w:rPr>
                <w:rFonts w:ascii="Garamond" w:hAnsi="Garamond"/>
                <w:b/>
              </w:rPr>
            </w:pPr>
          </w:p>
          <w:p w14:paraId="31F70A6E" w14:textId="77777777" w:rsidR="00900702" w:rsidRPr="00D57C48" w:rsidRDefault="00900702" w:rsidP="00B7729C">
            <w:pPr>
              <w:jc w:val="both"/>
              <w:rPr>
                <w:rFonts w:ascii="Garamond" w:hAnsi="Garamond"/>
              </w:rPr>
            </w:pPr>
          </w:p>
          <w:p w14:paraId="6D57E152" w14:textId="77777777" w:rsidR="00900702" w:rsidRPr="00D57C48" w:rsidRDefault="00900702" w:rsidP="00B7729C">
            <w:pPr>
              <w:jc w:val="both"/>
              <w:rPr>
                <w:rFonts w:ascii="Garamond" w:hAnsi="Garamond"/>
              </w:rPr>
            </w:pPr>
          </w:p>
        </w:tc>
      </w:tr>
      <w:tr w:rsidR="00900702" w:rsidRPr="00D57C48" w14:paraId="43B458C1" w14:textId="77777777" w:rsidTr="00B7729C">
        <w:tc>
          <w:tcPr>
            <w:tcW w:w="4708" w:type="dxa"/>
            <w:shd w:val="clear" w:color="auto" w:fill="auto"/>
          </w:tcPr>
          <w:p w14:paraId="4A475EC8"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F0BFD84"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7A098924" w14:textId="77777777" w:rsidR="00900702" w:rsidRDefault="00900702" w:rsidP="00B7729C">
            <w:pPr>
              <w:jc w:val="both"/>
              <w:rPr>
                <w:rFonts w:ascii="Garamond" w:hAnsi="Garamond"/>
              </w:rPr>
            </w:pPr>
            <w:r w:rsidRPr="00D57C48">
              <w:rPr>
                <w:rFonts w:ascii="Garamond" w:hAnsi="Garamond"/>
                <w:sz w:val="22"/>
              </w:rPr>
              <w:t>ředitel organizace</w:t>
            </w:r>
          </w:p>
          <w:p w14:paraId="5ADF2243"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3D324BAB"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4D8DA51B" w14:textId="77777777" w:rsidR="00900702" w:rsidRPr="00D57C48" w:rsidRDefault="00900702" w:rsidP="00B7729C">
            <w:pPr>
              <w:rPr>
                <w:rFonts w:ascii="Garamond" w:hAnsi="Garamond"/>
              </w:rPr>
            </w:pPr>
            <w:r w:rsidRPr="00D57C48">
              <w:rPr>
                <w:rFonts w:ascii="Garamond" w:hAnsi="Garamond"/>
                <w:sz w:val="22"/>
              </w:rPr>
              <w:t>_____________________</w:t>
            </w:r>
          </w:p>
          <w:p w14:paraId="4E03C94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024EC700"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33502AC" w14:textId="77777777" w:rsidR="00900702" w:rsidRPr="00D57C48" w:rsidRDefault="00900702" w:rsidP="00B7729C">
            <w:pPr>
              <w:jc w:val="both"/>
              <w:rPr>
                <w:rFonts w:ascii="Garamond" w:hAnsi="Garamond"/>
              </w:rPr>
            </w:pPr>
          </w:p>
        </w:tc>
      </w:tr>
    </w:tbl>
    <w:p w14:paraId="78BDAD8A" w14:textId="77777777" w:rsidR="00900702" w:rsidRPr="00D57C48" w:rsidRDefault="00900702" w:rsidP="00900702">
      <w:pPr>
        <w:jc w:val="both"/>
        <w:rPr>
          <w:rFonts w:ascii="Garamond" w:hAnsi="Garamond"/>
          <w:sz w:val="22"/>
        </w:rPr>
      </w:pPr>
      <w:r>
        <w:rPr>
          <w:rFonts w:ascii="Garamond" w:hAnsi="Garamond"/>
          <w:sz w:val="22"/>
        </w:rPr>
        <w:tab/>
      </w:r>
    </w:p>
    <w:p w14:paraId="1FB787A3" w14:textId="77777777" w:rsidR="00900702" w:rsidRPr="00D57C48" w:rsidRDefault="00900702" w:rsidP="00900702">
      <w:pPr>
        <w:ind w:left="720" w:hanging="720"/>
        <w:jc w:val="both"/>
        <w:rPr>
          <w:rFonts w:ascii="Garamond" w:hAnsi="Garamond"/>
          <w:sz w:val="22"/>
        </w:rPr>
      </w:pPr>
    </w:p>
    <w:p w14:paraId="5EDB3F78"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1C1ED4D5" w14:textId="77777777" w:rsidR="00900702" w:rsidRPr="00D57C48" w:rsidRDefault="00900702" w:rsidP="00900702"/>
    <w:p w14:paraId="65D7BAFB" w14:textId="77777777" w:rsidR="00900702" w:rsidRPr="00D57C48" w:rsidRDefault="00900702" w:rsidP="00900702"/>
    <w:p w14:paraId="202D1397" w14:textId="77777777" w:rsidR="00900702" w:rsidRPr="00D57C48" w:rsidRDefault="00900702" w:rsidP="00900702"/>
    <w:p w14:paraId="7C554A9D" w14:textId="77777777" w:rsidR="00900702" w:rsidRPr="00D57C48" w:rsidRDefault="00900702" w:rsidP="00900702"/>
    <w:p w14:paraId="6F1C632A" w14:textId="77777777" w:rsidR="00900702" w:rsidRPr="00D57C48" w:rsidRDefault="00900702" w:rsidP="00900702"/>
    <w:p w14:paraId="2F154575" w14:textId="77777777" w:rsidR="00900702" w:rsidRPr="00D57C48" w:rsidRDefault="00900702" w:rsidP="00900702"/>
    <w:p w14:paraId="5E167570" w14:textId="77777777" w:rsidR="00900702" w:rsidRPr="00D57C48" w:rsidRDefault="00900702" w:rsidP="00900702"/>
    <w:p w14:paraId="1EA44506" w14:textId="77777777" w:rsidR="00EC0C88" w:rsidRDefault="00EC0C88"/>
    <w:sectPr w:rsidR="00EC0C88" w:rsidSect="000A07FD">
      <w:headerReference w:type="default" r:id="rId11"/>
      <w:footerReference w:type="default" r:id="rId12"/>
      <w:footerReference w:type="first" r:id="rId13"/>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6B578" w14:textId="77777777" w:rsidR="00584FEC" w:rsidRDefault="00584FEC" w:rsidP="00900702">
      <w:r>
        <w:separator/>
      </w:r>
    </w:p>
  </w:endnote>
  <w:endnote w:type="continuationSeparator" w:id="0">
    <w:p w14:paraId="6E634407"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A39CB" w14:textId="77777777" w:rsidR="0094538C" w:rsidRDefault="0094538C" w:rsidP="00FD36BD">
    <w:pPr>
      <w:pStyle w:val="Zpat"/>
      <w:jc w:val="center"/>
    </w:pPr>
  </w:p>
  <w:p w14:paraId="1017F498" w14:textId="77777777" w:rsidR="0094538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fldSimple w:instr=" NUMPAGES   \* MERGEFORMAT ">
      <w:r w:rsidR="000E2931" w:rsidRPr="000E2931">
        <w:rPr>
          <w:noProof/>
          <w:sz w:val="18"/>
          <w:szCs w:val="18"/>
        </w:rPr>
        <w:t>12</w:t>
      </w:r>
    </w:fldSimple>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F366" w14:textId="77777777" w:rsidR="0094538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B01FF" w14:textId="77777777" w:rsidR="00584FEC" w:rsidRDefault="00584FEC" w:rsidP="00900702">
      <w:r>
        <w:separator/>
      </w:r>
    </w:p>
  </w:footnote>
  <w:footnote w:type="continuationSeparator" w:id="0">
    <w:p w14:paraId="1DD8AED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8B5CA" w14:textId="77777777" w:rsidR="0094538C"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611592729">
    <w:abstractNumId w:val="11"/>
  </w:num>
  <w:num w:numId="2" w16cid:durableId="2120907924">
    <w:abstractNumId w:val="12"/>
  </w:num>
  <w:num w:numId="3" w16cid:durableId="101606843">
    <w:abstractNumId w:val="8"/>
  </w:num>
  <w:num w:numId="4" w16cid:durableId="1491631107">
    <w:abstractNumId w:val="16"/>
  </w:num>
  <w:num w:numId="5" w16cid:durableId="321350190">
    <w:abstractNumId w:val="15"/>
  </w:num>
  <w:num w:numId="6" w16cid:durableId="426072857">
    <w:abstractNumId w:val="2"/>
  </w:num>
  <w:num w:numId="7" w16cid:durableId="2064911604">
    <w:abstractNumId w:val="22"/>
  </w:num>
  <w:num w:numId="8" w16cid:durableId="1626351074">
    <w:abstractNumId w:val="23"/>
  </w:num>
  <w:num w:numId="9" w16cid:durableId="623733876">
    <w:abstractNumId w:val="18"/>
  </w:num>
  <w:num w:numId="10" w16cid:durableId="1152139291">
    <w:abstractNumId w:val="1"/>
  </w:num>
  <w:num w:numId="11" w16cid:durableId="68843719">
    <w:abstractNumId w:val="21"/>
  </w:num>
  <w:num w:numId="12" w16cid:durableId="672880459">
    <w:abstractNumId w:val="3"/>
  </w:num>
  <w:num w:numId="13" w16cid:durableId="384572972">
    <w:abstractNumId w:val="0"/>
  </w:num>
  <w:num w:numId="14" w16cid:durableId="1053164721">
    <w:abstractNumId w:val="28"/>
  </w:num>
  <w:num w:numId="15" w16cid:durableId="1679695731">
    <w:abstractNumId w:val="9"/>
  </w:num>
  <w:num w:numId="16" w16cid:durableId="1522549285">
    <w:abstractNumId w:val="13"/>
  </w:num>
  <w:num w:numId="17" w16cid:durableId="1969702438">
    <w:abstractNumId w:val="27"/>
  </w:num>
  <w:num w:numId="18" w16cid:durableId="349380031">
    <w:abstractNumId w:val="7"/>
  </w:num>
  <w:num w:numId="19" w16cid:durableId="388959270">
    <w:abstractNumId w:val="10"/>
  </w:num>
  <w:num w:numId="20" w16cid:durableId="355934664">
    <w:abstractNumId w:val="19"/>
  </w:num>
  <w:num w:numId="21" w16cid:durableId="281807806">
    <w:abstractNumId w:val="17"/>
  </w:num>
  <w:num w:numId="22" w16cid:durableId="2020158580">
    <w:abstractNumId w:val="24"/>
  </w:num>
  <w:num w:numId="23" w16cid:durableId="1497919117">
    <w:abstractNumId w:val="6"/>
  </w:num>
  <w:num w:numId="24" w16cid:durableId="1402561782">
    <w:abstractNumId w:val="26"/>
  </w:num>
  <w:num w:numId="25" w16cid:durableId="1852452199">
    <w:abstractNumId w:val="4"/>
  </w:num>
  <w:num w:numId="26" w16cid:durableId="2132161044">
    <w:abstractNumId w:val="5"/>
  </w:num>
  <w:num w:numId="27" w16cid:durableId="438061437">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144593414">
    <w:abstractNumId w:val="14"/>
  </w:num>
  <w:num w:numId="29" w16cid:durableId="34363460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54907"/>
    <w:rsid w:val="000578BB"/>
    <w:rsid w:val="000A07FD"/>
    <w:rsid w:val="000A39E2"/>
    <w:rsid w:val="000E2931"/>
    <w:rsid w:val="001D2EEC"/>
    <w:rsid w:val="00232542"/>
    <w:rsid w:val="002759E8"/>
    <w:rsid w:val="002F5CC2"/>
    <w:rsid w:val="003221A4"/>
    <w:rsid w:val="003D0A9C"/>
    <w:rsid w:val="004A130B"/>
    <w:rsid w:val="00557D7A"/>
    <w:rsid w:val="00584FEC"/>
    <w:rsid w:val="00613C40"/>
    <w:rsid w:val="00655574"/>
    <w:rsid w:val="006629CA"/>
    <w:rsid w:val="006937AF"/>
    <w:rsid w:val="006A3258"/>
    <w:rsid w:val="00751AD1"/>
    <w:rsid w:val="00752AC3"/>
    <w:rsid w:val="0077126A"/>
    <w:rsid w:val="007935AC"/>
    <w:rsid w:val="007A70D6"/>
    <w:rsid w:val="007B70B4"/>
    <w:rsid w:val="007E7F38"/>
    <w:rsid w:val="00802971"/>
    <w:rsid w:val="00882DB5"/>
    <w:rsid w:val="008D30EB"/>
    <w:rsid w:val="00900702"/>
    <w:rsid w:val="0094538C"/>
    <w:rsid w:val="00962573"/>
    <w:rsid w:val="00975D8C"/>
    <w:rsid w:val="009B4345"/>
    <w:rsid w:val="00A72D27"/>
    <w:rsid w:val="00AF2847"/>
    <w:rsid w:val="00C0339C"/>
    <w:rsid w:val="00C620C7"/>
    <w:rsid w:val="00CC1527"/>
    <w:rsid w:val="00D165BA"/>
    <w:rsid w:val="00D57F46"/>
    <w:rsid w:val="00D914E2"/>
    <w:rsid w:val="00D94E61"/>
    <w:rsid w:val="00E0701C"/>
    <w:rsid w:val="00E219A0"/>
    <w:rsid w:val="00E4757C"/>
    <w:rsid w:val="00EC0C88"/>
    <w:rsid w:val="00ED52A4"/>
    <w:rsid w:val="00EE6CEA"/>
    <w:rsid w:val="00F77C0E"/>
    <w:rsid w:val="00F86AC9"/>
    <w:rsid w:val="00FD37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D10B7"/>
  <w15:docId w15:val="{6710C2C0-554A-4FA1-9873-AB8488A02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 w:type="character" w:styleId="Nevyeenzmnka">
    <w:name w:val="Unresolved Mention"/>
    <w:basedOn w:val="Standardnpsmoodstavce"/>
    <w:uiPriority w:val="99"/>
    <w:semiHidden/>
    <w:unhideWhenUsed/>
    <w:rsid w:val="007A7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ojtkova.martina@ksusk.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susk.cz/zasady-ochrany-osobnich-udaju/" TargetMode="External"/><Relationship Id="rId4" Type="http://schemas.openxmlformats.org/officeDocument/2006/relationships/settings" Target="settings.xml"/><Relationship Id="rId9" Type="http://schemas.openxmlformats.org/officeDocument/2006/relationships/hyperlink" Target="mailto:matejkova.katerina@ksusk.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11</Pages>
  <Words>6416</Words>
  <Characters>37855</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14</cp:revision>
  <dcterms:created xsi:type="dcterms:W3CDTF">2024-06-17T12:47:00Z</dcterms:created>
  <dcterms:modified xsi:type="dcterms:W3CDTF">2024-08-20T06:47:00Z</dcterms:modified>
</cp:coreProperties>
</file>